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highlight w:val="none"/>
        </w:rPr>
        <w:t>月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16</w:t>
      </w:r>
      <w:r>
        <w:rPr>
          <w:rFonts w:hint="eastAsia" w:ascii="仿宋_GB2312" w:eastAsia="仿宋_GB2312"/>
          <w:sz w:val="28"/>
          <w:highlight w:val="none"/>
        </w:rPr>
        <w:t>日</w:t>
      </w:r>
    </w:p>
    <w:tbl>
      <w:tblPr>
        <w:tblStyle w:val="7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615"/>
        <w:gridCol w:w="2028"/>
        <w:gridCol w:w="1832"/>
        <w:gridCol w:w="5"/>
        <w:gridCol w:w="530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764" w:type="dxa"/>
            <w:gridSpan w:val="2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周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警官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</w:t>
            </w:r>
          </w:p>
        </w:tc>
        <w:tc>
          <w:tcPr>
            <w:tcW w:w="386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联系电话：6712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2147</w:t>
            </w:r>
          </w:p>
        </w:tc>
        <w:tc>
          <w:tcPr>
            <w:tcW w:w="5311" w:type="dxa"/>
            <w:gridSpan w:val="2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192130元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3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38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4615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b/>
                <w:bCs/>
                <w:sz w:val="28"/>
                <w:highlight w:val="none"/>
                <w:lang w:val="en-US" w:eastAsia="zh-CN"/>
              </w:rPr>
              <w:t>湖北省公安机关乒乓球比赛项目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详见附件</w:t>
            </w:r>
          </w:p>
        </w:tc>
        <w:tc>
          <w:tcPr>
            <w:tcW w:w="1832" w:type="dxa"/>
            <w:vAlign w:val="center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宜昌市</w:t>
            </w:r>
          </w:p>
        </w:tc>
        <w:tc>
          <w:tcPr>
            <w:tcW w:w="5311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1、须将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项目名称和响应供应商名称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标注在响应文件封面并加盖公章密封好。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2、报价不能超过项目总预算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192130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3、询价单及附件均需加盖响应供应商印章，否则视为无效报价。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475" w:type="dxa"/>
            <w:gridSpan w:val="3"/>
            <w:vMerge w:val="restart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475" w:type="dxa"/>
            <w:gridSpan w:val="3"/>
            <w:vMerge w:val="continue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764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865" w:type="dxa"/>
            <w:gridSpan w:val="3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532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  <w:highlight w:val="none"/>
        </w:rPr>
      </w:pPr>
      <w:r>
        <w:rPr>
          <w:rFonts w:hint="eastAsia" w:ascii="黑体" w:hAnsi="黑体" w:eastAsia="黑体"/>
          <w:sz w:val="24"/>
        </w:rPr>
        <w:t>注：1、投标截止时间：2023年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>10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月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val="en-US" w:eastAsia="zh-CN"/>
        </w:rPr>
        <w:t>19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  <w:highlight w:val="none"/>
        </w:rPr>
        <w:t>2、请投标供应商于2023年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val="en-US" w:eastAsia="zh-CN"/>
        </w:rPr>
        <w:t>10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月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val="en-US" w:eastAsia="zh-CN"/>
        </w:rPr>
        <w:t>19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日</w:t>
      </w:r>
      <w:r>
        <w:rPr>
          <w:rFonts w:hint="eastAsia" w:ascii="黑体" w:hAnsi="黑体" w:eastAsia="黑体"/>
          <w:color w:val="000000" w:themeColor="text1"/>
          <w:sz w:val="24"/>
          <w:highlight w:val="none"/>
        </w:rPr>
        <w:t>下</w:t>
      </w:r>
      <w:r>
        <w:rPr>
          <w:rFonts w:hint="eastAsia" w:ascii="黑体" w:hAnsi="黑体" w:eastAsia="黑体"/>
          <w:sz w:val="24"/>
          <w:highlight w:val="none"/>
        </w:rPr>
        <w:t>午4</w:t>
      </w:r>
      <w:r>
        <w:rPr>
          <w:rFonts w:hint="eastAsia" w:ascii="黑体" w:hAnsi="黑体" w:eastAsia="黑体"/>
          <w:sz w:val="24"/>
        </w:rPr>
        <w:t>点前将投标文件密封送至湖北省公安厅(地址: 雄楚大街181号)传达室“政府采购投标箱”内。</w:t>
      </w:r>
    </w:p>
    <w:p>
      <w:pPr>
        <w:spacing w:line="440" w:lineRule="exact"/>
        <w:ind w:firstLine="420"/>
        <w:jc w:val="center"/>
        <w:rPr>
          <w:rFonts w:hint="eastAsia" w:ascii="黑体" w:eastAsia="黑体" w:hAnsiTheme="majorEastAsia" w:cstheme="majorEastAsia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both"/>
        <w:rPr>
          <w:rFonts w:hint="eastAsia" w:ascii="黑体" w:eastAsia="黑体" w:hAnsiTheme="majorEastAsia" w:cstheme="majorEastAsia"/>
          <w:sz w:val="32"/>
          <w:szCs w:val="32"/>
          <w:highlight w:val="none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spacing w:line="440" w:lineRule="exact"/>
        <w:ind w:firstLine="2209" w:firstLineChars="500"/>
        <w:jc w:val="both"/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  <w:lang w:val="en-US" w:eastAsia="zh-CN"/>
        </w:rPr>
        <w:t>2023年湖北省公安机关乒乓球比赛项目采购</w:t>
      </w:r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  <w:t>需求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项目基本情况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1.1项目名称：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2023年湖北省公安机关乒乓球比赛项目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192130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1.3项目内容概述：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厅机关拟于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2023年11月上旬在宜昌市举办2023年湖北省公安机关乒乓球比赛活动，预计参赛人数在320人左右。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6"/>
        <w:ind w:firstLine="562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2.5本项目的特定资格要求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（1）裁判员资质要求：乒乓球国际级裁判员资质3名、乒乓球国家级裁判员资质1名、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（提供裁判员（共4名）资质证书复印件）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ind w:firstLine="640" w:firstLineChars="200"/>
        <w:rPr>
          <w:rFonts w:hint="default" w:eastAsia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（2）提供宜昌奥体中心网羽馆（宜昌市点军区点军大道南）标准乒乓球比赛场地预留保证函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" w:eastAsia="zh-CN"/>
        </w:rPr>
        <w:t>提供比赛场地预留保证函）；</w:t>
      </w:r>
    </w:p>
    <w:p>
      <w:pPr>
        <w:numPr>
          <w:ilvl w:val="0"/>
          <w:numId w:val="2"/>
        </w:numPr>
        <w:spacing w:line="560" w:lineRule="exact"/>
        <w:ind w:left="420" w:left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具体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采购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需求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3.1具体需求清单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 xml:space="preserve"> </w:t>
      </w:r>
    </w:p>
    <w:tbl>
      <w:tblPr>
        <w:tblStyle w:val="7"/>
        <w:tblW w:w="13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800"/>
        <w:gridCol w:w="924"/>
        <w:gridCol w:w="687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类  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服务项目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 量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具 体 需 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比赛场地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比赛及训练场地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16片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11月5日上午至8日下午，在宜昌奥体中心网羽馆的两个不同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区域分别铺设12片、4片标准乒乓球比赛场地供比赛和热身时使用。同时还须提供裁判员所需要的比赛器材。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场租费不超过2万元/天；时间按4天计。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裁判员选派及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劳务费发放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比赛监督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1名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必须具备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>乒乓球国际级裁判员资质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9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比赛监督、裁判长、副裁判长、裁判长助理劳务费为500元/人/天；编排记录裁判劳务费为400元/人/天，裁判员劳务费标准为300元/人/天,时间均按4天计。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1名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必须具备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>乒乓球国际级裁判员资质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。有类似比赛裁判长或副裁判长经历。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副裁判长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2名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1名必须具备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>乒乓球国际级裁判员资质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，另一名必须具备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>国家级裁判员资质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28名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其中武汉市选派13名，宜昌市乒协选派15名。赛前参加裁判培训，明确职责，工作认真负责，公平、公正执裁。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食宿安排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各代表队食宿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约260人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5日13时至8日14时间，在离宜昌奥体中心15分钟车程范围内联系1家大型酒店，预留24间单间、130间标间供各代表队住宿。比赛期间午餐、晚餐由酒店提供自助餐。酒店要合理安排就餐时间，避免聚集，同时保证食品卫生安全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具体缴费标准待酒店确定后再行协商。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裁判员食宿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32人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11月4日12时至8日14时，在各代表队入住的酒店，安排2间单间、8间标间供省派裁判员住宿。比赛期间，32名裁判的午餐、晚餐均由酒店提供自助餐。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住宿费标准按170元/人/天执行，餐标按55元/人/餐执行。宜昌裁判员进餐按3天计。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医护人员餐费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3人次/餐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医护人员11月5日晚餐至8日午餐（早餐除外），由入住酒店提供自助餐。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餐标按55元/人/餐执行，时间按3天计。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交通费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裁判员交通费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32人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比赛期间，省派裁判员交通费按240元/人包干，宜昌选派裁判员交通费按照100元/人包干。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总金额控制在0.558万元。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现场医疗救助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医疗救护服务费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1批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11月5日下午14时至17时30分适应场地期间、6日9时至8日16时整个比赛期间，每时段聘请1名资深急诊科医生、2名护士，租赁1辆专业救护车在赛场提供现场医疗救助服务，必须携带除颤仪到现场。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救护车租赁费控制在0.1万元/天，时间按3天计。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购置比赛用球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购比赛用球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50盒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红双喜D40+乒乓球。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金额控制在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0.25万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比赛资料印刷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印制秩序册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60本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按照甲方要求编制，采用铜版纸印刷，装订精美，错误率低。</w:t>
            </w:r>
          </w:p>
        </w:tc>
        <w:tc>
          <w:tcPr>
            <w:tcW w:w="249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总金额控制在0.7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印制参赛证件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280个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采用PVC喷印，正反两面显示，规格按甲方要求执行。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印制号码布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200个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按照标准乒乓球比赛通常要求印制。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印制队名布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26个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按照标准乒乓球比赛通常要求印制。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比赛场地布置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比赛场地布置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1批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搭建主席台，长12米、宽4米、高0.6米，铺设蓝色地毯；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搭建主席台背景桁架，长12米、高4米；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制作主席台背景黑底喷绘，计48平；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租赁音响设备一套，含2个话筒、两个立柱；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制作室内宣传标语4幅，规格为长7.2米、宽0.9米；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制作成绩公布栏、道路指示牌、赛场示意图等。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制作场馆门口5米注水道旗及喷绘（10组），旗杆高5米，旗面尺寸3.6米乘以0.6米，双面喷绘，钢板底座为0.6米乘以0.4米，厚度10毫米。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主席台铺设木板保护地板。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金额控制在1.821万元内。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购置裁判员用品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及其他杂支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裁判员比赛所需物品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1批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主要包括打印纸、中性笔若干、油性笔若干、手提文件袋15个、长尾夹若干、胶水、订书机等。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金额控制在0.23万内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赛事服务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提供比赛涉及的所有服务。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1批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提供服务的项目及标准按甲方要求执行。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总金额控制在0.5万元内。</w:t>
            </w:r>
          </w:p>
        </w:tc>
      </w:tr>
    </w:tbl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响应供应商报价文件须含以下资质证明文件和承诺函，否则视为无效报价：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（1）为保障比赛如期举办，响应供应商须在投标之前与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" w:eastAsia="zh-CN"/>
        </w:rPr>
        <w:t>宜昌奥体中心网羽馆（宜昌市点军区点军大道南）协商好预留比赛场地事宜并出具场地预留保证函。如因比赛场地档期问题影响比赛进程，由此产生的经济损失以及相应责任均由中标供应商全部承担。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（2）提供所需裁判员（共4名）资质证书复印件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" w:eastAsia="zh-CN"/>
        </w:rPr>
        <w:t>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（3）提供符合要求的预计入住酒店的相关信息，包含但不仅限于酒店名称、地址、预计房费标准等；并确保赛事期间人员的食宿保障。</w:t>
      </w:r>
    </w:p>
    <w:p>
      <w:pPr>
        <w:pStyle w:val="10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四</w:t>
      </w:r>
      <w:r>
        <w:rPr>
          <w:rFonts w:hint="eastAsia" w:ascii="黑体" w:eastAsia="黑体" w:hAnsiTheme="majorEastAsia" w:cstheme="majorEastAsia"/>
          <w:sz w:val="32"/>
          <w:szCs w:val="32"/>
        </w:rPr>
        <w:t>、</w:t>
      </w: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报价</w:t>
      </w:r>
      <w:r>
        <w:rPr>
          <w:rFonts w:hint="eastAsia" w:ascii="黑体" w:eastAsia="黑体" w:hAnsiTheme="majorEastAsia" w:cstheme="majorEastAsia"/>
          <w:sz w:val="32"/>
          <w:szCs w:val="32"/>
        </w:rPr>
        <w:t>要求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3.1具体需求清单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的货物或服务内容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等进行明细报价，提供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“报价明细表”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，否则按无效响应处理；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报价应包含完成本项目全部内容可能发生的费用（包含但不仅限于税费、保险、人工、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交通、</w:t>
      </w:r>
      <w:r>
        <w:rPr>
          <w:rFonts w:hint="eastAsia" w:ascii="仿宋" w:hAnsi="仿宋" w:eastAsia="仿宋" w:cs="仿宋"/>
          <w:sz w:val="32"/>
          <w:szCs w:val="32"/>
        </w:rPr>
        <w:t>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讯</w:t>
      </w:r>
      <w:r>
        <w:rPr>
          <w:rFonts w:hint="eastAsia" w:ascii="仿宋" w:hAnsi="仿宋" w:eastAsia="仿宋" w:cs="仿宋"/>
          <w:sz w:val="32"/>
          <w:szCs w:val="32"/>
        </w:rPr>
        <w:t>等）。</w:t>
      </w:r>
    </w:p>
    <w:p>
      <w:pPr>
        <w:pStyle w:val="6"/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金额，否则视为无效报价。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黑体" w:eastAsia="黑体" w:hAnsiTheme="majorEastAsia" w:cstheme="majorEastAsia"/>
          <w:sz w:val="32"/>
          <w:szCs w:val="32"/>
          <w:lang w:eastAsia="zh-CN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五、商务要求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5.1赛事时间：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2023年11月5日至11月8日，共计3天半（含报到半天）。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5.2赛事地点：宜昌市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5.3赛事人数：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预计320人左右。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5.4服务期限：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中标（成交）公告发出之日起至比赛结束当天。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5.5付款方式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：按合同约定。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02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5.6其他未尽事宜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，双方以合同方式约定。</w:t>
      </w:r>
    </w:p>
    <w:p>
      <w:pPr>
        <w:pStyle w:val="10"/>
        <w:spacing w:before="0" w:beforeAutospacing="0" w:after="0" w:afterAutospacing="0" w:line="400" w:lineRule="atLeast"/>
        <w:ind w:right="26" w:firstLine="480" w:firstLineChars="200"/>
        <w:jc w:val="both"/>
        <w:rPr>
          <w:rFonts w:ascii="仿宋_GB2312" w:hAnsi="仿宋_GB2312" w:eastAsia="仿宋_GB2312" w:cs="仿宋_GB2312"/>
        </w:rPr>
      </w:pPr>
    </w:p>
    <w:p>
      <w:pPr>
        <w:pStyle w:val="10"/>
        <w:widowControl/>
        <w:numPr>
          <w:ilvl w:val="0"/>
          <w:numId w:val="0"/>
        </w:numPr>
        <w:tabs>
          <w:tab w:val="left" w:pos="312"/>
        </w:tabs>
        <w:spacing w:before="0" w:beforeAutospacing="0" w:after="0" w:afterAutospacing="0" w:line="400" w:lineRule="atLeast"/>
        <w:ind w:right="26" w:righ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E17733"/>
    <w:multiLevelType w:val="multilevel"/>
    <w:tmpl w:val="2CE17733"/>
    <w:lvl w:ilvl="0" w:tentative="0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eastAsia="方正仿宋_GBK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E84B8"/>
    <w:multiLevelType w:val="singleLevel"/>
    <w:tmpl w:val="336E84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586FEC"/>
    <w:rsid w:val="00913F7D"/>
    <w:rsid w:val="00985389"/>
    <w:rsid w:val="00CE71A0"/>
    <w:rsid w:val="04402DDD"/>
    <w:rsid w:val="04922423"/>
    <w:rsid w:val="04AA2247"/>
    <w:rsid w:val="04B213C1"/>
    <w:rsid w:val="04FF3EDA"/>
    <w:rsid w:val="06021ED4"/>
    <w:rsid w:val="09726820"/>
    <w:rsid w:val="0A0C3321"/>
    <w:rsid w:val="0A8F5AAE"/>
    <w:rsid w:val="0C39004B"/>
    <w:rsid w:val="0C9F4665"/>
    <w:rsid w:val="0D240982"/>
    <w:rsid w:val="0DCF6E04"/>
    <w:rsid w:val="0E2826F4"/>
    <w:rsid w:val="0EBC7420"/>
    <w:rsid w:val="0F255CCE"/>
    <w:rsid w:val="0F3A6B3A"/>
    <w:rsid w:val="108F32CA"/>
    <w:rsid w:val="10FB1368"/>
    <w:rsid w:val="11214C03"/>
    <w:rsid w:val="13207E3D"/>
    <w:rsid w:val="137B37B1"/>
    <w:rsid w:val="13FDEE49"/>
    <w:rsid w:val="143F2545"/>
    <w:rsid w:val="16290DB7"/>
    <w:rsid w:val="17524232"/>
    <w:rsid w:val="17DFDCCB"/>
    <w:rsid w:val="193E1044"/>
    <w:rsid w:val="1B1F4E7E"/>
    <w:rsid w:val="1BBE0589"/>
    <w:rsid w:val="1BF7068A"/>
    <w:rsid w:val="1CCD5584"/>
    <w:rsid w:val="1DE657E0"/>
    <w:rsid w:val="1E5E11E3"/>
    <w:rsid w:val="1F251EE8"/>
    <w:rsid w:val="1F5614C8"/>
    <w:rsid w:val="1F5A72E2"/>
    <w:rsid w:val="1FF2424D"/>
    <w:rsid w:val="1FFF6A09"/>
    <w:rsid w:val="22522477"/>
    <w:rsid w:val="23AB3BDD"/>
    <w:rsid w:val="23B15D12"/>
    <w:rsid w:val="23BD427B"/>
    <w:rsid w:val="24413095"/>
    <w:rsid w:val="24673FF8"/>
    <w:rsid w:val="25B23A93"/>
    <w:rsid w:val="25B91208"/>
    <w:rsid w:val="2631659E"/>
    <w:rsid w:val="265D5E6E"/>
    <w:rsid w:val="273C675F"/>
    <w:rsid w:val="275B3953"/>
    <w:rsid w:val="2839044E"/>
    <w:rsid w:val="298505A2"/>
    <w:rsid w:val="298D00AB"/>
    <w:rsid w:val="2B852ADC"/>
    <w:rsid w:val="2BA3136F"/>
    <w:rsid w:val="2C1125C1"/>
    <w:rsid w:val="2C596483"/>
    <w:rsid w:val="2CA3146B"/>
    <w:rsid w:val="2E466A10"/>
    <w:rsid w:val="2EB91B03"/>
    <w:rsid w:val="3291620A"/>
    <w:rsid w:val="334503D9"/>
    <w:rsid w:val="33784CD4"/>
    <w:rsid w:val="34655804"/>
    <w:rsid w:val="37420445"/>
    <w:rsid w:val="375A12C0"/>
    <w:rsid w:val="382C5D4F"/>
    <w:rsid w:val="38806B05"/>
    <w:rsid w:val="38F0217A"/>
    <w:rsid w:val="38FD0155"/>
    <w:rsid w:val="394B1D76"/>
    <w:rsid w:val="39FFD286"/>
    <w:rsid w:val="3AFF85E1"/>
    <w:rsid w:val="3C277297"/>
    <w:rsid w:val="3CA91085"/>
    <w:rsid w:val="3D3A734A"/>
    <w:rsid w:val="3DBF824F"/>
    <w:rsid w:val="3E5B7D8F"/>
    <w:rsid w:val="3FDD9DE3"/>
    <w:rsid w:val="41A77552"/>
    <w:rsid w:val="41FD1C51"/>
    <w:rsid w:val="428B7CD8"/>
    <w:rsid w:val="42C6780A"/>
    <w:rsid w:val="43615DCA"/>
    <w:rsid w:val="44983428"/>
    <w:rsid w:val="45252F0E"/>
    <w:rsid w:val="45E71EB6"/>
    <w:rsid w:val="46B12D46"/>
    <w:rsid w:val="46C40107"/>
    <w:rsid w:val="470874D1"/>
    <w:rsid w:val="499B044D"/>
    <w:rsid w:val="49E76902"/>
    <w:rsid w:val="4B3D25BB"/>
    <w:rsid w:val="4C7554F9"/>
    <w:rsid w:val="4E4E1D31"/>
    <w:rsid w:val="4F5116E0"/>
    <w:rsid w:val="4FA71C3F"/>
    <w:rsid w:val="50772144"/>
    <w:rsid w:val="50791669"/>
    <w:rsid w:val="5164690A"/>
    <w:rsid w:val="51C9461D"/>
    <w:rsid w:val="52F5E407"/>
    <w:rsid w:val="54204559"/>
    <w:rsid w:val="543B3885"/>
    <w:rsid w:val="5804289B"/>
    <w:rsid w:val="592A1E53"/>
    <w:rsid w:val="59B77A55"/>
    <w:rsid w:val="5A3317D1"/>
    <w:rsid w:val="5B3402E5"/>
    <w:rsid w:val="5B38118F"/>
    <w:rsid w:val="5BD7618C"/>
    <w:rsid w:val="5BE04FA6"/>
    <w:rsid w:val="5D066FEF"/>
    <w:rsid w:val="5D36F4FD"/>
    <w:rsid w:val="5F3E1A98"/>
    <w:rsid w:val="5F97010C"/>
    <w:rsid w:val="60E2BA33"/>
    <w:rsid w:val="612364C7"/>
    <w:rsid w:val="61D94A0C"/>
    <w:rsid w:val="62165C60"/>
    <w:rsid w:val="62173640"/>
    <w:rsid w:val="62195BD4"/>
    <w:rsid w:val="62B611F1"/>
    <w:rsid w:val="63E94CAF"/>
    <w:rsid w:val="655670CF"/>
    <w:rsid w:val="65A417D5"/>
    <w:rsid w:val="66DE9E36"/>
    <w:rsid w:val="684B2A0D"/>
    <w:rsid w:val="68F66048"/>
    <w:rsid w:val="6A00230F"/>
    <w:rsid w:val="6A390AC4"/>
    <w:rsid w:val="6B23239A"/>
    <w:rsid w:val="6BDEEF07"/>
    <w:rsid w:val="6C5A07E8"/>
    <w:rsid w:val="6CC801D2"/>
    <w:rsid w:val="6D125E56"/>
    <w:rsid w:val="6D6F4D34"/>
    <w:rsid w:val="6DCA3EEE"/>
    <w:rsid w:val="6DD41CEA"/>
    <w:rsid w:val="71082ED9"/>
    <w:rsid w:val="716D4DBF"/>
    <w:rsid w:val="717D9ED9"/>
    <w:rsid w:val="724F2681"/>
    <w:rsid w:val="72842BB4"/>
    <w:rsid w:val="72E51E40"/>
    <w:rsid w:val="738B7B06"/>
    <w:rsid w:val="73CD6872"/>
    <w:rsid w:val="73FCDC8C"/>
    <w:rsid w:val="759622C6"/>
    <w:rsid w:val="759F4024"/>
    <w:rsid w:val="76C43A85"/>
    <w:rsid w:val="76DF89F0"/>
    <w:rsid w:val="77342046"/>
    <w:rsid w:val="774125AD"/>
    <w:rsid w:val="77E57024"/>
    <w:rsid w:val="77F574CA"/>
    <w:rsid w:val="782B3690"/>
    <w:rsid w:val="786F7A21"/>
    <w:rsid w:val="78762B5D"/>
    <w:rsid w:val="7A395C75"/>
    <w:rsid w:val="7A446BD2"/>
    <w:rsid w:val="7AD61E74"/>
    <w:rsid w:val="7B7621B0"/>
    <w:rsid w:val="7D272A0D"/>
    <w:rsid w:val="7DC108F8"/>
    <w:rsid w:val="7DF91CCE"/>
    <w:rsid w:val="7E892F73"/>
    <w:rsid w:val="7EAFC64C"/>
    <w:rsid w:val="7EDB4B29"/>
    <w:rsid w:val="7F3BE3FB"/>
    <w:rsid w:val="7FCF6D7A"/>
    <w:rsid w:val="7FEA6FF4"/>
    <w:rsid w:val="7FEF790C"/>
    <w:rsid w:val="7FFB4D56"/>
    <w:rsid w:val="7FFCD3BF"/>
    <w:rsid w:val="A5BEF57E"/>
    <w:rsid w:val="AF1B844B"/>
    <w:rsid w:val="B35E1F60"/>
    <w:rsid w:val="BBEABBBC"/>
    <w:rsid w:val="BCEB36D9"/>
    <w:rsid w:val="DCEFD08C"/>
    <w:rsid w:val="EB37813B"/>
    <w:rsid w:val="EBE359FE"/>
    <w:rsid w:val="EF9F06FB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3"/>
    <w:qFormat/>
    <w:uiPriority w:val="99"/>
    <w:pPr>
      <w:spacing w:after="0"/>
      <w:ind w:left="0" w:leftChars="0" w:firstLine="420" w:firstLineChars="200"/>
    </w:pPr>
  </w:style>
  <w:style w:type="character" w:styleId="9">
    <w:name w:val="page number"/>
    <w:basedOn w:val="8"/>
    <w:qFormat/>
    <w:uiPriority w:val="0"/>
  </w:style>
  <w:style w:type="paragraph" w:customStyle="1" w:styleId="10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2328</Words>
  <Characters>2501</Characters>
  <Lines>12</Lines>
  <Paragraphs>3</Paragraphs>
  <TotalTime>5</TotalTime>
  <ScaleCrop>false</ScaleCrop>
  <LinksUpToDate>false</LinksUpToDate>
  <CharactersWithSpaces>2616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2023-03-27T09:36:00Z</dcterms:created>
  <dc:creator>Administrator</dc:creator>
  <cp:lastModifiedBy>欧欧</cp:lastModifiedBy>
  <dcterms:modified xsi:type="dcterms:W3CDTF">2023-10-16T07:08:13Z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C2A84AAB9742430DA91A231DC890D0C4_13</vt:lpwstr>
  </property>
</Properties>
</file>